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Guide méthodologique : analyse de double matérialité</w:t>
      </w:r>
    </w:p>
    <w:p>
      <w:r>
        <w:t>Ce guide vous accompagne pas à pas dans la réalisation d'une analyse de double matérialité, conformément aux exigences de la directive CSRD. Vous y trouverez une définition claire, un processus en 5 étapes, une matrice vierge à télécharger et une checklist pour ne rien oublier.</w:t>
      </w:r>
    </w:p>
    <w:p>
      <w:r>
        <w:rPr>
          <w:b/>
        </w:rPr>
        <w:t>Ce document est fourni à titre illustratif et pédagogique. Il ne remplace pas une consultation juridique ou technique adaptée à votre situation. Vérifiez les exigences réglementaires en vigueur et faites valider votre démarche par un professionnel compétent.</w:t>
      </w:r>
    </w:p>
    <w:p>
      <w:pPr>
        <w:pStyle w:val="Heading1"/>
      </w:pPr>
      <w:r>
        <w:t>Mode d'emploi</w:t>
      </w:r>
    </w:p>
    <w:p>
      <w:pPr>
        <w:pStyle w:val="ListNumber"/>
      </w:pPr>
      <w:r>
        <w:t>Identifier les parties prenantes et les enjeux de durabilité pertinents pour votre entreprise.</w:t>
      </w:r>
    </w:p>
    <w:p>
      <w:pPr>
        <w:pStyle w:val="ListNumber"/>
      </w:pPr>
      <w:r>
        <w:t>Collecter les informations qualitatives et quantitatives sur les impacts, risques et opportunités.</w:t>
      </w:r>
    </w:p>
    <w:p>
      <w:pPr>
        <w:pStyle w:val="ListNumber"/>
      </w:pPr>
      <w:r>
        <w:t>Évaluer la matérialité d'impact (enjeux sur l'environnement et la société) et la matérialité financière (enjeux affectant la performance financière).</w:t>
      </w:r>
    </w:p>
    <w:p>
      <w:pPr>
        <w:pStyle w:val="ListNumber"/>
      </w:pPr>
      <w:r>
        <w:t>Prioriser les enjeux en croisant les deux dimensions sur une matrice de double matérialité.</w:t>
      </w:r>
    </w:p>
    <w:p>
      <w:pPr>
        <w:pStyle w:val="ListNumber"/>
      </w:pPr>
      <w:r>
        <w:t>Documenter le processus et intégrer les résultats dans la stratégie et le reporting de durabilité.</w:t>
      </w:r>
    </w:p>
    <w:p>
      <w:pPr>
        <w:pStyle w:val="Heading1"/>
      </w:pPr>
      <w:r>
        <w:t>Définition et contexte réglementaire</w:t>
      </w:r>
    </w:p>
    <w:p>
      <w:r>
        <w:t>La double matérialité est un concept introduit par la directive européenne CSRD (Corporate Sustainability Reporting Directive). Elle impose aux entreprises de rendre compte à la fois de leur impact sur l'environnement et la société (matérialité d'impact) et de l'impact des enjeux de durabilité sur leur performance financière (matérialité financière). Cette approche dépasse la simple matérialité financière pour intégrer une vision plus globale des risques et opportunités.</w:t>
      </w:r>
    </w:p>
    <w:p>
      <w:pPr>
        <w:pStyle w:val="Heading1"/>
      </w:pPr>
      <w:r>
        <w:t>Processus en 5 étapes</w:t>
      </w:r>
    </w:p>
    <w:p>
      <w:r>
        <w:t>1. Identification : cartographiez les parties prenantes et les enjeux potentiels (changement climatique, biodiversité, droits humains, etc.).</w:t>
        <w:br/>
        <w:t>2. Collecte : réunissez des données internes et externes (scores, études sectorielles, retours parties prenantes).</w:t>
        <w:br/>
        <w:t>3. Évaluation : pour chaque enjeu, évaluez son impact (échelle, portée, réversibilité) et sa pertinence financière (ampleur, probabilité).</w:t>
        <w:br/>
        <w:t>4. Priorisation : classez les enjeux sur une matrice 2x2 (impact vs financier) et définissez un seuil de matérialité.</w:t>
        <w:br/>
        <w:t>5. Intégration : utilisez les résultats pour orienter la stratégie, les objectifs et le reporting.</w:t>
      </w:r>
    </w:p>
    <w:p>
      <w:pPr>
        <w:pStyle w:val="Heading1"/>
      </w:pPr>
      <w:r>
        <w:t>Matrice de double matérialité</w:t>
      </w:r>
    </w:p>
    <w:p>
      <w:r>
        <w:t>La matrice est un outil visuel qui croise les deux dimensions. En abscisse, la matérialité financière ; en ordonnée, la matérialité d'impact. Chaque enjeu est positionné selon son score. Les enjeux dans le quadrant supérieur droit sont prioritaires. Vous trouverez ci-dessous un modèle de matrice vierge à adapter.</w:t>
      </w:r>
    </w:p>
    <w:p>
      <w:pPr>
        <w:pStyle w:val="Heading1"/>
      </w:pPr>
      <w:r>
        <w:t>Modèle prêt à adapter</w:t>
      </w:r>
    </w:p>
    <w:p>
      <w:r>
        <w:t>MODÈLE DE MATRICE DE DOUBLE MATÉRIALITÉ Entreprise : [Nom de l'entreprise] Période : [Année] Instructions : 1. Listez les enjeux identifiés (ligne 1). 2. Pour chaque enjeu, attribuez un score de 1 à 5 pour la matérialité d'impact (colonne B) et pour la matérialité financière (colonne C). 3. Reportez les scores sur la matrice ci-dessous en positionnant chaque enjeu. | Enjeu | Matérialité d'impact (1-5) | Matérialité financière (1-5) | Commentaires | |-------|----------------------------|-----------------------------|--------------| | [Enjeu 1] | [Score] | [Score] | [Commentaire] | | [Enjeu 2] | [Score] | [Score] | [Commentaire] | | ... | ... | ... | ... | Matrice (quadrants) : - Quadrant 1 (impact élevé, financier élevé) : prioritaires - Quadrant 2 (impact élevé, financier faible) : à surveiller - Quadrant 3 (impact faible, financier élevé) : à surveiller - Quadrant 4 (impact faible, financier faible) : non prioritaires Date de validation : [Date] Responsable : [Nom]</w:t>
      </w:r>
    </w:p>
    <w:p>
      <w:pPr>
        <w:pStyle w:val="Heading1"/>
      </w:pPr>
      <w:r>
        <w:t>Checklist</w:t>
      </w:r>
    </w:p>
    <w:p>
      <w:r>
        <w:t>☐ Identifier les parties prenantes internes et externes</w:t>
      </w:r>
    </w:p>
    <w:p>
      <w:r>
        <w:t>☐ Définir le périmètre de l'analyse (activités, sites, chaîne de valeur)</w:t>
      </w:r>
    </w:p>
    <w:p>
      <w:r>
        <w:t>☐ Collecter les données sur les impacts, risques et opportunités</w:t>
      </w:r>
    </w:p>
    <w:p>
      <w:r>
        <w:t>☐ Évaluer la matérialité d'impact selon des critères (échelle, portée, réversibilité)</w:t>
      </w:r>
    </w:p>
    <w:p>
      <w:r>
        <w:t>☐ Évaluer la matérialité financière selon des critères (ampleur, probabilité)</w:t>
      </w:r>
    </w:p>
    <w:p>
      <w:r>
        <w:t>☐ Croiser les deux dimensions sur une matrice</w:t>
      </w:r>
    </w:p>
    <w:p>
      <w:r>
        <w:t>☐ Définir un seuil de matérialité clair</w:t>
      </w:r>
    </w:p>
    <w:p>
      <w:r>
        <w:t>☐ Prioriser les enjeux et documenter les choix</w:t>
      </w:r>
    </w:p>
    <w:p>
      <w:r>
        <w:t>☐ Intégrer les résultats dans la stratégie et le reporting</w:t>
      </w:r>
    </w:p>
    <w:p>
      <w:r>
        <w:t>☐ Faire valider par la direction et les parties prenantes clés</w:t>
      </w:r>
    </w:p>
    <w:p>
      <w:pPr>
        <w:pStyle w:val="Heading1"/>
      </w:pPr>
      <w:r>
        <w:t>Questions fréquentes</w:t>
      </w:r>
    </w:p>
    <w:p>
      <w:r>
        <w:rPr>
          <w:b/>
        </w:rPr>
        <w:t>Quelle est la différence entre matérialité simple et double matérialité ?</w:t>
      </w:r>
    </w:p>
    <w:p>
      <w:r>
        <w:t>La matérialité simple (ou financière) ne considère que l'impact des enjeux de durabilité sur la performance financière de l'entreprise. La double matérialité ajoute la dimension de l'impact de l'entreprise sur l'environnement et la société, même si cet impact n'a pas de conséquence financière directe à court terme.</w:t>
      </w:r>
    </w:p>
    <w:p>
      <w:r>
        <w:rPr>
          <w:b/>
        </w:rPr>
        <w:t>Comment choisir les enjeux à inclure dans l'analyse ?</w:t>
      </w:r>
    </w:p>
    <w:p>
      <w:r>
        <w:t>Les enjeux sont généralement identifiés à partir des normes ESRS, des retours des parties prenantes, des analyses sectorielles et des risques identifiés dans la stratégie. Il est important de couvrir les trois piliers : environnement, social et gouvernance.</w:t>
      </w:r>
    </w:p>
    <w:p>
      <w:r>
        <w:rPr>
          <w:b/>
        </w:rPr>
        <w:t>Quelle est la fréquence de mise à jour de l'analyse de double matérialité ?</w:t>
      </w:r>
    </w:p>
    <w:p>
      <w:r>
        <w:t>La CSRD recommande une mise à jour annuelle, mais une revue plus fréquente peut être nécessaire en cas de changement majeur dans l'activité, la réglementation ou les attentes des parties prenantes. Une documentation rigoureuse du processus est essentielle.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